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  <w:bookmarkStart w:id="0" w:name="_GoBack"/>
      <w:bookmarkEnd w:id="0"/>
    </w:p>
    <w:tbl>
      <w:tblPr>
        <w:tblpPr w:leftFromText="181" w:rightFromText="181" w:vertAnchor="text" w:tblpX="2" w:tblpY="2"/>
        <w:tblW w:w="540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874"/>
        <w:gridCol w:w="3986"/>
        <w:gridCol w:w="990"/>
        <w:gridCol w:w="2959"/>
      </w:tblGrid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ПОЯСНИТЕЛЬНАЯ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  <w:t>ЗАПИСКА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8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КОДЫ</w:t>
            </w:r>
          </w:p>
        </w:tc>
      </w:tr>
      <w:tr w:rsidR="00000000">
        <w:trPr>
          <w:trHeight w:val="30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u w:val="single"/>
              </w:rPr>
            </w:pPr>
            <w:r>
              <w:rPr>
                <w:rFonts w:ascii="Times New Roman" w:eastAsia="Times New Roman" w:hAnsi="Times New Roman" w:cs="Calibri"/>
                <w:sz w:val="18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18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18"/>
                <w:szCs w:val="24"/>
                <w:lang w:val="en-US" w:eastAsia="en-US"/>
              </w:rPr>
              <w:t xml:space="preserve"> 1 мая 2025</w:t>
            </w:r>
            <w:r>
              <w:rPr>
                <w:rFonts w:ascii="Times New Roman" w:eastAsia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24"/>
              </w:rPr>
              <w:t>года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ОКУД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0503160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8"/>
                <w:szCs w:val="24"/>
                <w:u w:val="single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Дата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01.05.2025</w:t>
            </w:r>
          </w:p>
        </w:tc>
      </w:tr>
      <w:tr w:rsidR="00000000">
        <w:trPr>
          <w:trHeight w:val="360"/>
        </w:trPr>
        <w:tc>
          <w:tcPr>
            <w:tcW w:w="1223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распорядитель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получатель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бюджетных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средств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доходов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главный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администратор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источников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финансирования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дефицита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  <w:t>ОКПО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 w:cs="Calibri"/>
                <w:sz w:val="22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13539775</w:t>
            </w: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7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90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1785"/>
        </w:trPr>
        <w:tc>
          <w:tcPr>
            <w:tcW w:w="1223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2"/>
                <w:szCs w:val="24"/>
                <w:lang w:val="en-US" w:eastAsia="en-US"/>
              </w:rPr>
              <w:t>управа района Бибирево города Москвы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Глава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БК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sz w:val="22"/>
                <w:szCs w:val="24"/>
                <w:lang w:val="en-US" w:eastAsia="en-US"/>
              </w:rPr>
              <w:t xml:space="preserve">941 </w:t>
            </w:r>
          </w:p>
        </w:tc>
      </w:tr>
      <w:tr w:rsidR="00000000">
        <w:trPr>
          <w:trHeight w:val="983"/>
        </w:trPr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Наименование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бюджета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публично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правового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обр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азования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) </w:t>
            </w: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Бюджет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города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4"/>
              </w:rPr>
              <w:t>Москвы</w:t>
            </w: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ОКТМО</w:t>
            </w:r>
          </w:p>
        </w:tc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  <w:r>
              <w:rPr>
                <w:rStyle w:val="style461"/>
                <w:rFonts w:eastAsia="Times New Roman"/>
                <w:sz w:val="22"/>
                <w:szCs w:val="24"/>
                <w:lang w:val="en-US" w:eastAsia="en-US"/>
              </w:rPr>
              <w:t>45000000</w:t>
            </w:r>
            <w:r>
              <w:rPr>
                <w:rFonts w:ascii="Times New Roman" w:eastAsia="Times New Roman" w:hAnsi="Times New Roman" w:cs="Calibri"/>
                <w:sz w:val="22"/>
                <w:szCs w:val="24"/>
                <w:lang w:val="en-US" w:eastAsia="en-US"/>
              </w:rPr>
              <w:t xml:space="preserve"> </w:t>
            </w:r>
          </w:p>
        </w:tc>
      </w:tr>
      <w:tr w:rsidR="00000000">
        <w:trPr>
          <w:trHeight w:val="24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471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</w:pPr>
          </w:p>
        </w:tc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</w:p>
        </w:tc>
      </w:tr>
      <w:tr w:rsidR="00000000">
        <w:trPr>
          <w:trHeight w:val="330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Периодичность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: </w:t>
            </w:r>
          </w:p>
        </w:tc>
        <w:tc>
          <w:tcPr>
            <w:tcW w:w="231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  <w:lang w:val="en-US" w:eastAsia="en-US"/>
              </w:rPr>
              <w:t>месячная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 </w:t>
            </w:r>
          </w:p>
        </w:tc>
      </w:tr>
      <w:tr w:rsidR="00000000">
        <w:trPr>
          <w:trHeight w:val="450"/>
        </w:trPr>
        <w:tc>
          <w:tcPr>
            <w:tcW w:w="312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Единица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измерения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руб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.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right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ОКЕИ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color w:val="000000"/>
                <w:sz w:val="22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4"/>
              </w:rPr>
              <w:t>383</w:t>
            </w: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D2D03">
            <w:pPr>
              <w:rPr>
                <w:rFonts w:ascii="Times New Roman" w:eastAsia="Times New Roman" w:hAnsi="Times New Roman"/>
                <w:sz w:val="20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</w:tr>
      <w:tr w:rsidR="00000000">
        <w:trPr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89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</w:tr>
      <w:tr w:rsidR="00000000">
        <w:trPr>
          <w:gridAfter w:val="3"/>
          <w:wAfter w:w="3777" w:type="pct"/>
          <w:trHeight w:val="315"/>
        </w:trPr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 w:cs="Calibri"/>
                <w:sz w:val="20"/>
                <w:szCs w:val="24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7D2D03">
            <w:pPr>
              <w:rPr>
                <w:rFonts w:eastAsia="Times New Roman"/>
                <w:sz w:val="20"/>
                <w:szCs w:val="24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1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Организационная структура субъекта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1074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4"/>
              <w:jc w:val="both"/>
              <w:rPr>
                <w:rFonts w:ascii="Times New Roman" w:eastAsia="Times New Roman" w:hAnsi="Times New Roman"/>
                <w:szCs w:val="24"/>
              </w:rPr>
            </w:pPr>
          </w:p>
          <w:p w:rsidR="00000000" w:rsidRDefault="007D2D03">
            <w:pPr>
              <w:ind w:right="34"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</w:p>
          <w:p w:rsidR="00000000" w:rsidRDefault="007D2D03">
            <w:pPr>
              <w:tabs>
                <w:tab w:val="left" w:pos="10348"/>
                <w:tab w:val="left" w:pos="10632"/>
              </w:tabs>
              <w:ind w:right="34"/>
              <w:rPr>
                <w:rFonts w:ascii="Times New Roman" w:eastAsia="Times New Roman" w:hAnsi="Times New Roman" w:cs="Calibri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4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740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lastRenderedPageBreak/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2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Результаты деятельности субъекта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3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Анализ отчета об исполнении бюджета субъектом бюджетной отчетности»</w:t>
      </w:r>
      <w:r>
        <w:rPr>
          <w:rFonts w:ascii="Times New Roman" w:eastAsia="Times New Roman" w:hAnsi="Times New Roman" w:cs="Calibri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Сведения, раскрывающие информацию о ходе реализации государственными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 xml:space="preserve"> составе национальных проектов) за счет средств субсидии на иные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Сведения, раскрывающие информацию о ходе реализации государствен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ными (муниципальными) бюджетными и автономными учреждениями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 за счет средств субсидии на иные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 цели и субсидии на цели осуществления капитальных вложений, с указанием причин образования остатков средств целевых субсидий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 xml:space="preserve"> в составе национальных проектов)  (на основании ф. 0503128-НП)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Информация, раскрывающая данные о неисполненных принятых бюджетных обязательствах и денежных обязательствах в ходе реализации национальных проектов (программ), комплексного плана модернизации и расширения магистральной инфраструктуры (региональных проектов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 в составе национальных проектов)  (на основании ф. 0503128-НП)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контрагентов и мероприятий, по которым осуществ</w:t>
            </w: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ляются расчеты в иностранной валюте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Информация о сумме курсовой разницы, отраженной в ф. 0503127 в разрезе следующих показателей: положительная курсовая разница;  отрицательная курсовая разница; начисленная по доходам или расходам; наименование контраген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 xml:space="preserve">тов и мероприятий, по которым осуществляются расчеты в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lastRenderedPageBreak/>
              <w:t>иностранной валюте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 w:cs="Calibri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  <w:t>Иная информация, оказавшая существенное влияние и характеризующая результаты исполнения  бюджета субъектом бюджетной отчетности, не отраженная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 w:cs="Calibri"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 xml:space="preserve"> 4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Анализ показателей бухгалтерской отчетности субъекта бюджетной отчетности»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50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отраженных в ф. 0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503173 по коду причины «02»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суммах изменений вступительного баланса в отчетном периоде в связи с внедрением федеральных стандартов бухгалтерского учета государственных финансов, отраженных в ф. 0503173 по коду причины «02»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«07»: описание ошибки; сумма корректировки по каждой статье бухгалтерской отчетн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ости за каждый из предшествующих годов, для которых в бухгалтерской отчетности раскрываются сравнительные показатели; общая сумма корректировки на начало самого раннего из предшествующих годов, для которого в бухгалтерской отчетности раскрываются сравнител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ьные показатели; описание причин, по 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указанием периода, в которо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м отражены исправления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об ошибках предшествующих годов, отраженных после утверждения бухгалтерской отчетности в ф. 0503173 по коду причины «03» (за исключением кода "03.5") и коду причины «07»: описание ошибки; сумма корректировки по каждой ст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атье бухгалтерской отчетности за каждый из предшествующих годов, для которых в бухгалтерской отчетности раскрываются сравнительные показатели; общая сумма корректировки на начало самого раннего из предшествующих годов, для которого в бухгалтерской отчетнос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ти раскрываются сравнительные показатели; описание причин, по которым корректировка сравнительных показателей бухгалтерской отчетности за один или несколько предшествующих годов не представляется возможным, а также способа отражения исправления ошибки с ук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азанием периода, в котором отражены исправления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lastRenderedPageBreak/>
              <w:t>1. Информ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ация о суммах корректировок,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которым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 применяется выбранный способ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при ретроспективном применении измененной учетной политики, рас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 xml:space="preserve">крывающая: - суммы корректировок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 - суммы корректировок, относящихся к годам, предшествующим тем, для 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которых в отчетности субъекта учета раскрываются сравнительные показатели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1. Информация о суммах корректировок,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связанных с ретроспективным применением измененной учетной политики, с указанием обоснования и содержания ее изменения, порядок отражения последствий изменений в отчетности, включая указание на обстоятельства, в связи с которыми применяется выбранный спос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об ведения бухгалтерского учета, и дату, с которой он применяется по показателям, отраженным по коду причины «04» в ф. 0503173; 2. Информация о суммах корректировок при ретроспективном применении измененной учетной политики, раскрывающая: - суммы корректир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овок по каждой статье бухгалтерской отчетности за каждый из предшествующих годов, для которых в бухгалтерской отчетности раскрываются сравнительные показатели; - суммы корректировок, относящихся к годам, предшествующим тем, для которых в отчетности субъект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а учета раскрываются сравнительные показатели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по показателям, отраженным по коду причины 05 «Пересчеты показателей отчетности» в ф. 0503173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по показателям, отраженным по коду причины 05 «Пересчеты показателей отчетности» в ф. 0503173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 основании ф. 0503178-бюджетная деятельность)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причинах (целях) открытия счетов в кредитных организациях, о причинах образования остатка денежных средств на счетах, а также обоснование необходимости наличия банковских счетов в случае отсутствия по ним операций в течение 2-х и более лет (на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основании ф. 0503178-бюджетная деятельность)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  <w:p w:rsidR="00000000" w:rsidRDefault="007D2D03">
            <w:pPr>
              <w:ind w:right="35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Иная информация, характеризующая показатели бухгалтерской отчетности субъекта бюджетной отчетности, не нашедшая отражения в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 w:cs="Calibri"/>
          <w:sz w:val="28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Раздел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 xml:space="preserve"> 5 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«</w:t>
      </w:r>
      <w:r>
        <w:rPr>
          <w:rFonts w:ascii="Times New Roman" w:eastAsia="Times New Roman" w:hAnsi="Times New Roman" w:cs="Calibri"/>
          <w:b/>
          <w:color w:val="000000"/>
          <w:sz w:val="28"/>
          <w:szCs w:val="24"/>
        </w:rPr>
        <w:t>Прочие вопросы деятельности субъекта бюджетной отчетности»</w:t>
      </w:r>
      <w:r>
        <w:rPr>
          <w:rFonts w:ascii="Times New Roman" w:eastAsia="Times New Roman" w:hAnsi="Times New Roman"/>
          <w:sz w:val="28"/>
          <w:szCs w:val="24"/>
        </w:rPr>
        <w:t xml:space="preserve"> </w:t>
      </w:r>
    </w:p>
    <w:tbl>
      <w:tblPr>
        <w:tblStyle w:val="1"/>
        <w:tblW w:w="5405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4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событиях, произошедших в период между отчетной датой и датой утверждения бухгалтерской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осрочном финансировании; получение от кредитора отсрочки исполнения обязательств на период, оканчивающийся не ранее чем через 12 месяцев после отчетной даты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событиях, произошедших в период между отчетной датой и датой утверждения бухгалтерск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ой отчетности по долговым обязательствам, классифицированным как краткосрочные: рефинансирование на долгосрочный период; устранение нарушения соглашения о долгосрочном финансировании; получение от кредитора отсрочки исполнения обязательств на период, оканч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ивающийся не ранее чем через 12 месяцев после отчетной даты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просроченно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просроченной кредиторской задолженности, отраженная в аналитической таблице к ф. 0503387 «Справочная таблица к отчету об исполнении консолидированного бюджета субъекта Российской Федерации»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информация, отраженная в ф. 0503387 «Справоч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ная таблица к отчету об исполнении консолидированного бюджета субъекта Российской Федерации» и требующая пояснения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Иная информация, отраженная в ф. 0503387 «Справочная таблица к отчету 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об исполнении консолидированного бюджета субъекта Российской Федерации» и требующая пояснения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полученных межбюджетных трансфертах находящихся на отчетную дату на счете Управления Федерального казначейства № 03100 «Средства поступлений, явл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яющихся источниками формирования доходов бюджетов бюджетной системы Российской Федерации» (на основании ф. 0503184)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полученных межбюджетных трансфертах находящихся на отчетную дату на счете Управления Федерального казначейства № 03100 «Средс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тва поступлений, являющихся источниками формирования доходов бюджетов бюджетной системы Российской Федерации» (на основании ф. 0503184)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информация о межбюджетных трансфертах за отчетный период, не нашедшая отражения в формах отчетов, таблицах и приложениях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Иная информация о межбюджетных трансфертах за отчетный период, не нашедшая отражения в 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формах отчетов, таблицах и приложениях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ой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 вносимых изменениях в показатели ранее представленной бухгалтерской отчётности по решению уполномоченного органа в период после отчетной даты и до даты утверждения отчетности на основании выявленных ошибок и существенных событий после отчетной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даты (с указанием причин внесения исправлений и их содержания) по ошибкам отчетного периода, выявленным в ходе камеральной проверки отчетности, а также в ходе осуществления внутреннего (внешнего) финансового контроля (аудита)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Информация об ошибке бухг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 (информация о существенности ошибки, описание ошибки (содержания и суммы), а также суммов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ых значений выполненных корректировок бухгалтерской отчетности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Информация об ошибке бухгалтерской отчетности, допущенной в текущем финансовом году (ошибка отчетного года) и выявленной после даты принятия (утверждения) квартальной бухгалтерской отчетности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 (информация о существенности ошибки, описание ошибки (содержания и суммы), а также суммовых значений выполненных корректировок бухгалтерской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Перечень форм отчетности, не включенных в состав бюджетной отчетности за отчетный период ввиду отсутствия числовых значений показателей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Перечень форм отчетности, не включенных в состав бюджетной отчетности за отче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тный период ввиду отсутствия числовых значений показателей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</w:p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 w:cs="Calibri"/>
                <w:b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ности финансового положения, финансовых результатов деятельности и движения денежных средств субъекта отчетности за отчетный период, а также иная информация, характеризующая показатели бухгалтерской отчетности, не нашедшая отражения в таблицах и приложения</w:t>
            </w:r>
            <w:r>
              <w:rPr>
                <w:rFonts w:ascii="Times New Roman" w:eastAsia="Times New Roman" w:hAnsi="Times New Roman"/>
                <w:b/>
                <w:szCs w:val="24"/>
                <w:lang w:val="en-US" w:eastAsia="en-US"/>
              </w:rPr>
              <w:t>х, включаемых в раздел</w:t>
            </w:r>
          </w:p>
          <w:p w:rsidR="00000000" w:rsidRDefault="007D2D03">
            <w:pPr>
              <w:ind w:right="-142"/>
              <w:rPr>
                <w:rFonts w:ascii="Times New Roman" w:eastAsia="Times New Roman" w:hAnsi="Times New Roman"/>
                <w:b/>
                <w:color w:val="000000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35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>Иная финансовая и нефинансовая информация, оказавшая существенное влияние на результаты деятельности субъекта бюджетной отчетности и необходимая для понимания пользователями бухгалтерской отчетности финансового положения, фина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t xml:space="preserve">нсовых результатов деятельности и движения денежных средств субъекта отчетности за отчетный период, а также иная информация, </w:t>
            </w:r>
            <w:r>
              <w:rPr>
                <w:rFonts w:ascii="Times New Roman" w:eastAsia="Times New Roman" w:hAnsi="Times New Roman" w:cs="Calibri"/>
                <w:color w:val="000000"/>
                <w:szCs w:val="24"/>
                <w:lang w:val="en-US" w:eastAsia="en-US"/>
              </w:rPr>
              <w:lastRenderedPageBreak/>
              <w:t>характеризующая показатели бухгалтерской отчетности, не нашедшая отражения в таблицах и приложениях, включаемых в раздел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:rsidR="00000000" w:rsidRDefault="007D2D03">
            <w:pPr>
              <w:ind w:right="-142"/>
              <w:jc w:val="both"/>
              <w:rPr>
                <w:rFonts w:ascii="Times New Roman" w:eastAsia="Times New Roman" w:hAnsi="Times New Roman" w:cs="Calibri"/>
                <w:color w:val="000000"/>
                <w:sz w:val="28"/>
                <w:szCs w:val="24"/>
                <w:lang w:val="en-US" w:eastAsia="en-US"/>
              </w:rPr>
            </w:pPr>
          </w:p>
        </w:tc>
      </w:tr>
    </w:tbl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  <w:sectPr w:rsidR="00000000">
          <w:pgSz w:w="12240" w:h="15840"/>
          <w:pgMar w:top="1134" w:right="1701" w:bottom="1134" w:left="819" w:header="720" w:footer="720" w:gutter="0"/>
          <w:cols w:space="720"/>
          <w:noEndnote/>
        </w:sect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представленных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внутридокументным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)</w:t>
      </w:r>
    </w:p>
    <w:p w:rsidR="00000000" w:rsidRDefault="007D2D03">
      <w:pPr>
        <w:jc w:val="center"/>
        <w:rPr>
          <w:rFonts w:eastAsia="Times New Roman" w:cs="Calibri"/>
          <w:sz w:val="22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648"/>
        <w:gridCol w:w="776"/>
        <w:gridCol w:w="1031"/>
        <w:gridCol w:w="1414"/>
        <w:gridCol w:w="1414"/>
        <w:gridCol w:w="1670"/>
        <w:gridCol w:w="1542"/>
        <w:gridCol w:w="1542"/>
        <w:gridCol w:w="4288"/>
      </w:tblGrid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Атрибут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слева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справа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Отклонение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Пояснение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9</w:t>
            </w: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10</w:t>
            </w:r>
          </w:p>
        </w:tc>
      </w:tr>
      <w:tr w:rsidR="00000000">
        <w:trPr>
          <w:trHeight w:val="255"/>
        </w:trPr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4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</w:tr>
    </w:tbl>
    <w:p w:rsidR="00000000" w:rsidRDefault="007D2D03">
      <w:pPr>
        <w:jc w:val="center"/>
        <w:rPr>
          <w:rFonts w:ascii="Times New Roman CYR" w:eastAsia="Times New Roman" w:hAnsi="Times New Roman CYR" w:cs="Calibri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" w:eastAsia="Times New Roman" w:hAnsi="Times New Roman" w:cs="Calibri"/>
          <w:sz w:val="28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center"/>
        <w:rPr>
          <w:rFonts w:ascii="Times New Roman" w:eastAsia="Times New Roman" w:hAnsi="Times New Roman"/>
          <w:b/>
          <w:color w:val="000000"/>
          <w:szCs w:val="24"/>
        </w:rPr>
      </w:pP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Информация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причинах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показателей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представ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ленных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форм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отчетности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междокументным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 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контрольным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соотношениям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установленным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автоматизированной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информационной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системе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Департамента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финансов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города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Москвы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(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в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части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допустимых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отклонений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,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требующих</w:t>
      </w:r>
      <w:r>
        <w:rPr>
          <w:rFonts w:ascii="Times New Roman" w:eastAsia="Times New Roman" w:hAnsi="Times New Roman" w:cs="Calibri"/>
          <w:b/>
          <w:color w:val="000000"/>
          <w:szCs w:val="24"/>
        </w:rPr>
        <w:t xml:space="preserve"> 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пояснений</w:t>
      </w:r>
      <w:r>
        <w:rPr>
          <w:rFonts w:ascii="Times New Roman" w:eastAsia="Times New Roman" w:hAnsi="Times New Roman" w:cs="Calibri"/>
          <w:b/>
          <w:color w:val="000000"/>
          <w:szCs w:val="24"/>
        </w:rPr>
        <w:t>)</w:t>
      </w:r>
    </w:p>
    <w:p w:rsidR="00000000" w:rsidRDefault="007D2D03">
      <w:pPr>
        <w:jc w:val="center"/>
        <w:rPr>
          <w:rFonts w:ascii="Times New Roman" w:eastAsia="Times New Roman" w:hAnsi="Times New Roman" w:cs="Calibri"/>
          <w:b/>
          <w:color w:val="000000"/>
          <w:szCs w:val="24"/>
        </w:rPr>
      </w:pPr>
    </w:p>
    <w:tbl>
      <w:tblPr>
        <w:tblW w:w="15120" w:type="dxa"/>
        <w:tblInd w:w="-1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797"/>
        <w:gridCol w:w="915"/>
        <w:gridCol w:w="675"/>
        <w:gridCol w:w="690"/>
        <w:gridCol w:w="2385"/>
        <w:gridCol w:w="720"/>
        <w:gridCol w:w="630"/>
        <w:gridCol w:w="690"/>
        <w:gridCol w:w="2565"/>
        <w:gridCol w:w="780"/>
        <w:gridCol w:w="765"/>
        <w:gridCol w:w="2976"/>
      </w:tblGrid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Номер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Описание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Комментарий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слева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Атрибут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Форма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справа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Атрибут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строки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операция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и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код</w:t>
            </w: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Значение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Отклонение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Пояснение</w:t>
            </w:r>
          </w:p>
        </w:tc>
      </w:tr>
      <w:tr w:rsidR="00000000">
        <w:trPr>
          <w:trHeight w:val="2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3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4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5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8</w:t>
            </w: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11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  <w:hideMark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  <w:t>13</w:t>
            </w:r>
          </w:p>
        </w:tc>
      </w:tr>
      <w:tr w:rsidR="00000000">
        <w:trPr>
          <w:trHeight w:val="55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sz w:val="10"/>
                <w:szCs w:val="24"/>
                <w:lang w:val="en-US"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sz w:val="10"/>
                <w:szCs w:val="24"/>
                <w:lang w:val="en-US" w:eastAsia="en-US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60" w:type="dxa"/>
            </w:tcMar>
            <w:vAlign w:val="bottom"/>
          </w:tcPr>
          <w:p w:rsidR="00000000" w:rsidRDefault="007D2D03">
            <w:pPr>
              <w:jc w:val="both"/>
              <w:rPr>
                <w:rFonts w:ascii="Times New Roman" w:eastAsia="Times New Roman" w:hAnsi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Calibri"/>
                <w:sz w:val="16"/>
                <w:szCs w:val="24"/>
                <w:lang w:val="en-US" w:eastAsia="en-US"/>
              </w:rPr>
              <w:t xml:space="preserve"> </w:t>
            </w:r>
          </w:p>
        </w:tc>
      </w:tr>
    </w:tbl>
    <w:p w:rsidR="00000000" w:rsidRDefault="007D2D03">
      <w:pPr>
        <w:jc w:val="center"/>
        <w:rPr>
          <w:rFonts w:eastAsia="Times New Roman" w:cs="Calibri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" w:eastAsia="Times New Roman" w:hAnsi="Times New Roman"/>
          <w:sz w:val="28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</w:p>
    <w:p w:rsidR="00000000" w:rsidRDefault="007D2D03">
      <w:pPr>
        <w:jc w:val="both"/>
        <w:rPr>
          <w:rFonts w:ascii="Times New Roman CYR" w:eastAsia="Times New Roman" w:hAnsi="Times New Roman CYR" w:cs="Calibri"/>
          <w:color w:val="004DBB"/>
          <w:sz w:val="22"/>
          <w:szCs w:val="24"/>
          <w:lang w:val="en-US" w:eastAsia="en-US"/>
        </w:rPr>
      </w:pPr>
    </w:p>
    <w:tbl>
      <w:tblPr>
        <w:tblW w:w="11532" w:type="dxa"/>
        <w:tblInd w:w="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4"/>
        <w:gridCol w:w="5439"/>
        <w:gridCol w:w="4309"/>
      </w:tblGrid>
      <w:tr w:rsidR="00000000"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Руководитель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Verdana" w:eastAsia="Times New Roman" w:hAnsi="Verdana" w:cs="Calibri"/>
                <w:sz w:val="20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Волошин Артем Альбертович</w:t>
            </w:r>
          </w:p>
        </w:tc>
      </w:tr>
      <w:tr w:rsidR="00000000">
        <w:trPr>
          <w:trHeight w:val="280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eastAsia="Times New Roman"/>
                <w:szCs w:val="24"/>
              </w:rPr>
              <w:lastRenderedPageBreak/>
              <w:t> 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Руководитель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планово</w:t>
            </w:r>
            <w:r>
              <w:rPr>
                <w:rFonts w:ascii="Times New Roman" w:eastAsia="Times New Roman" w:hAnsi="Times New Roman"/>
                <w:szCs w:val="24"/>
              </w:rPr>
              <w:t>-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sz w:val="20"/>
                <w:szCs w:val="24"/>
                <w:lang w:val="en-US" w:eastAsia="en-US"/>
              </w:rPr>
              <w:t xml:space="preserve"> </w:t>
            </w: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экономической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службы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  <w:tr w:rsidR="00000000">
        <w:trPr>
          <w:trHeight w:val="281"/>
        </w:trPr>
        <w:tc>
          <w:tcPr>
            <w:tcW w:w="1153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 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Главный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  <w:lang w:val="en-US" w:eastAsia="en-US"/>
              </w:rPr>
            </w:pPr>
            <w:r>
              <w:rPr>
                <w:rFonts w:ascii="Verdana" w:eastAsia="Times New Roman" w:hAnsi="Verdana" w:cs="Verdana"/>
                <w:noProof/>
                <w:sz w:val="20"/>
                <w:szCs w:val="24"/>
              </w:rPr>
              <w:drawing>
                <wp:inline distT="0" distB="0" distL="0" distR="0">
                  <wp:extent cx="1581150" cy="4095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Лазарева Татьяна Николаевна</w:t>
            </w:r>
          </w:p>
        </w:tc>
      </w:tr>
      <w:tr w:rsidR="00000000">
        <w:trPr>
          <w:trHeight w:val="281"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бухгалтер</w:t>
            </w:r>
          </w:p>
        </w:tc>
        <w:tc>
          <w:tcPr>
            <w:tcW w:w="5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подпись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7D2D03">
            <w:pPr>
              <w:jc w:val="center"/>
              <w:rPr>
                <w:rFonts w:ascii="Times New Roman" w:eastAsia="Times New Roman" w:hAnsi="Times New Roman" w:cs="Calibri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(</w:t>
            </w:r>
            <w:r>
              <w:rPr>
                <w:rFonts w:ascii="Times New Roman" w:eastAsia="Times New Roman" w:hAnsi="Times New Roman"/>
                <w:szCs w:val="24"/>
              </w:rPr>
              <w:t>расшифровка</w:t>
            </w:r>
            <w:r>
              <w:rPr>
                <w:rFonts w:ascii="Times New Roman" w:eastAsia="Times New Roman" w:hAnsi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</w:rPr>
              <w:t>подписи</w:t>
            </w:r>
            <w:r>
              <w:rPr>
                <w:rFonts w:ascii="Times New Roman" w:eastAsia="Times New Roman" w:hAnsi="Times New Roman"/>
                <w:szCs w:val="24"/>
              </w:rPr>
              <w:t>)</w:t>
            </w:r>
          </w:p>
        </w:tc>
      </w:tr>
    </w:tbl>
    <w:p w:rsidR="00000000" w:rsidRDefault="007D2D03">
      <w:pPr>
        <w:rPr>
          <w:rFonts w:eastAsia="Times New Roman"/>
          <w:sz w:val="22"/>
          <w:szCs w:val="24"/>
        </w:rPr>
      </w:pPr>
    </w:p>
    <w:p w:rsidR="00000000" w:rsidRDefault="007D2D03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 w:cs="Calibri"/>
          <w:color w:val="2F343D"/>
          <w:szCs w:val="24"/>
          <w:shd w:val="clear" w:color="auto" w:fill="FFFFFF"/>
        </w:rPr>
        <w:t>"07" мая 2025 г.</w:t>
      </w:r>
      <w:bookmarkStart w:id="1" w:name="_dx_frag_EndFragment"/>
      <w:bookmarkEnd w:id="1"/>
    </w:p>
    <w:p w:rsidR="00000000" w:rsidRDefault="007D2D03">
      <w:pPr>
        <w:jc w:val="both"/>
        <w:rPr>
          <w:rFonts w:ascii="Times New Roman CYR" w:eastAsia="Times New Roman" w:hAnsi="Times New Roman CYR" w:cs="Times New Roman CYR"/>
          <w:color w:val="004DBB"/>
          <w:sz w:val="22"/>
          <w:szCs w:val="24"/>
          <w:lang w:val="en-US" w:eastAsia="en-US"/>
        </w:rPr>
      </w:pPr>
      <w:bookmarkStart w:id="2" w:name="_dx_frag_StartFragment"/>
      <w:bookmarkEnd w:id="2"/>
    </w:p>
    <w:p w:rsidR="007D2D03" w:rsidRDefault="007D2D03">
      <w:pPr>
        <w:jc w:val="both"/>
        <w:rPr>
          <w:rFonts w:ascii="Times New Roman" w:eastAsia="Times New Roman" w:hAnsi="Times New Roman" w:cs="Calibri"/>
          <w:sz w:val="28"/>
          <w:szCs w:val="24"/>
          <w:lang w:val="en-US" w:eastAsia="en-US"/>
        </w:rPr>
      </w:pPr>
    </w:p>
    <w:sectPr w:rsidR="007D2D03">
      <w:pgSz w:w="15840" w:h="12240" w:orient="landscape"/>
      <w:pgMar w:top="1134" w:right="819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98"/>
    <w:rsid w:val="007D2D03"/>
    <w:rsid w:val="00F5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A1A3ACE-B681-44F5-994C-584A7E6A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rPr>
      <w:rFonts w:ascii="Times New Roman" w:eastAsiaTheme="minorEastAsia" w:hAnsi="Times New Roman" w:cs="Times New Roman"/>
      <w:szCs w:val="22"/>
    </w:rPr>
  </w:style>
  <w:style w:type="character" w:styleId="a4">
    <w:name w:val="Hyperlink"/>
    <w:basedOn w:val="a0"/>
    <w:uiPriority w:val="99"/>
    <w:rPr>
      <w:rFonts w:ascii="Times New Roman" w:eastAsiaTheme="minorEastAsia" w:hAnsi="Times New Roman" w:cs="Times New Roman"/>
      <w:color w:val="0000FF"/>
      <w:szCs w:val="22"/>
      <w:u w:val="single"/>
    </w:rPr>
  </w:style>
  <w:style w:type="character" w:customStyle="1" w:styleId="style461">
    <w:name w:val="style461"/>
    <w:basedOn w:val="a0"/>
    <w:uiPriority w:val="99"/>
    <w:rPr>
      <w:rFonts w:ascii="Times New Roman" w:eastAsiaTheme="minorEastAsia" w:hAnsi="Times New Roman" w:cs="Times New Roman"/>
      <w:szCs w:val="15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2216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Петр Александрович</dc:creator>
  <cp:keywords/>
  <dc:description/>
  <cp:lastModifiedBy>Лазарева Татьяна Николаевна</cp:lastModifiedBy>
  <cp:revision>2</cp:revision>
  <dcterms:created xsi:type="dcterms:W3CDTF">2025-08-21T07:17:00Z</dcterms:created>
  <dcterms:modified xsi:type="dcterms:W3CDTF">2025-08-21T07:17:00Z</dcterms:modified>
</cp:coreProperties>
</file>